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right="0" w:firstLine="320" w:firstLineChars="100"/>
        <w:jc w:val="both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附件1：毕节市第二人民医院全院医疗设备维保服务采购项目需求调研清单</w:t>
      </w:r>
    </w:p>
    <w:bookmarkEnd w:id="0"/>
    <w:tbl>
      <w:tblPr>
        <w:tblStyle w:val="4"/>
        <w:tblW w:w="160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1220"/>
        <w:gridCol w:w="537"/>
        <w:gridCol w:w="5145"/>
        <w:gridCol w:w="1742"/>
        <w:gridCol w:w="730"/>
        <w:gridCol w:w="800"/>
        <w:gridCol w:w="610"/>
        <w:gridCol w:w="950"/>
        <w:gridCol w:w="1171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简要功能要求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产品功能及参数（供应商可单独整理成附件）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品牌及厂家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配置清单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厂家规模（XX型企业）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质保期及其他优质服务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是否接受进口产品投标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全院医疗设备维保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default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  <w:t>全院医疗设备详见台账，或有部分小型设备未统计在列。额外要求：1.完成国家强检类设备检测工作；2.对非强检类设备提供定期校准质控服务并提供CNAS校准证书；3.免费提供一辆无磁轮椅。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//</w:t>
            </w: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不接受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E1177"/>
    <w:rsid w:val="593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2025-07-09T17:32:00Z</dcterms:created>
  <dc:creator>123</dc:creator>
  <cp:lastModifiedBy>123</cp:lastModifiedBy>
  <dcterms:modified xsi:type="dcterms:W3CDTF">2025-07-09T17:33:19Z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