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附件1：毕节市第二人民医院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盆底功能磁刺激治疗仪</w:t>
      </w:r>
      <w:r>
        <w:rPr>
          <w:rStyle w:val="6"/>
          <w:rFonts w:hint="eastAsia" w:asciiTheme="majorEastAsia" w:hAnsiTheme="majorEastAsia" w:eastAsiaTheme="majorEastAsia" w:cstheme="majorEastAsia"/>
          <w:b w:val="0"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等一批设备采购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项目需求调研清单</w:t>
      </w:r>
    </w:p>
    <w:bookmarkEnd w:id="0"/>
    <w:tbl>
      <w:tblPr>
        <w:tblStyle w:val="4"/>
        <w:tblW w:w="16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20"/>
        <w:gridCol w:w="537"/>
        <w:gridCol w:w="5145"/>
        <w:gridCol w:w="1742"/>
        <w:gridCol w:w="730"/>
        <w:gridCol w:w="800"/>
        <w:gridCol w:w="610"/>
        <w:gridCol w:w="950"/>
        <w:gridCol w:w="1171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简要功能要求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产品功能及参数（供应商可单独整理成附件）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品牌及厂家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配置清单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厂家规模（XX型企业）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质保期及其他优质服务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是否接受进口产品投标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T-复苏组器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  <w:t>提供稳定且精准的压力；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  <w:t>维持呼气末正压；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  <w:t>持续气流；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  <w:t>压力限制。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经皮黄疸仪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测量准确性；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测量可靠性；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3.安全性；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医用快消机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医用快消机（快速消毒灭菌设备）在医疗场景中需满足高效、安全、适配性等核心要求，其功能规范如下：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一、核心功能要求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快速灭菌能力‌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灭菌时间≤15分钟（如牙科器械紧急处理），干燥时间≤45分钟‌。支持134℃高温灭菌，需通过专用试纸验证效果‌。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精准控温与安全防护‌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温度波动范围≤±1℃，配备超温/断电保护‌。禁止油性药剂或中药煎剂使用，避免堵塞雾化片‌。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适配性与操作便捷性‌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适用于小件器械（如牙科手机），需注油后擦干再打包‌。移动式设计，便于手术室、牙科诊室等多场景切换‌。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二、多器械管理‌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分区加热，避免交叉影响（如腹膜透析液需±0.5℃控温）‌。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医用恒温箱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一、核心功能要求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温度控制范围与精度‌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常规需求‌：37℃±2℃（模拟体温），适用于输液、冲洗液等‌。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特殊场景‌：心脏手术可能需低温（如30-35℃）以降低代谢率‌；显微外科要求±0.5℃高精度控温‌；器械预热需60-80℃高温‌。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控温技术‌：PID算法+微电脑控制，波动≤±1℃‌。加热与均匀性‌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10-20分钟内将4℃液体加热至37℃‌；循环风扇或导热设计确保温度分布均匀，避免局部过热‌。安全与报警系统‌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超温/低温报警、断电保护、传感器故障报警‌；血液制品加热严禁超过37℃‌。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二、设计与操作要求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结构设计‌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内胆材质：不锈钢或医用级涂层，耐腐蚀易清洁‌；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门封：纳米材料密封，减少热量损失‌；观察窗：三层钢化玻璃，便于监控‌。操作规范‌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预热时间≥30分钟，避免频繁开关门‌；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液体容器需密封完好，摆放间隔≥30%空间‌；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定期校准温度（每3-6个月）‌。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三、特殊场景适配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多液体管理‌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分区加热，防止交叉影响‌；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透明隔热容器便于观察‌。‌‌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医用暖风机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医用暖风机是为手术患者提供体表升温的核心设备，主要功能包括：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恒温控制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通过智能系统实时监测并调节温度，确保手术室环境维持在设定值（通常为37℃左右），避免患者体温异常波动。 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快速升温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采用强力送风技术，能在短时间内提升患者体表温度，尤其在麻醉或体腔冲洗等低温环节发挥关键作用。 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安全保护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配备过热保护、倾倒断电等安全机制，防止设备故障引发风险；同时通过金属外壳和电磁兼容检测，保障使用稳定性。 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过滤功能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内置高效空气过滤系统，降低手术室粉尘和细菌浓度，改善环境洁净度，减少感染概率。 ‌‌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操作便捷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支持一键操作，配备彩色液晶屏显示实时温度，并可预设四档不同温度（室温至43℃），满足个性化需求。 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盆底功能磁刺激治疗仪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是一种高强度脉冲强磁场即功能性磁刺激（FMS）是一种新兴的脉冲强磁医疗技术，利用强大的脉冲磁场作用于盆底神经，有效调节盆底神经肌肉功能，刺激盆底肌肉收缩，促进盆底血液循环，增加肌纤维的募集数，激活盆底神经，增强神经和肌肉的调控作用，促进神经的生长。多用于尿失禁、盆腔淤血综合征、盆底肌无力等疾病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E2D22"/>
    <w:multiLevelType w:val="singleLevel"/>
    <w:tmpl w:val="B54E2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FC5FE4"/>
    <w:multiLevelType w:val="singleLevel"/>
    <w:tmpl w:val="C4FC5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213A"/>
    <w:rsid w:val="631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2025-06-16T22:01:00Z</dcterms:created>
  <dc:creator>123</dc:creator>
  <cp:lastModifiedBy>123</cp:lastModifiedBy>
  <dcterms:modified xsi:type="dcterms:W3CDTF">2025-06-16T22:01:31Z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